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9D2131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6C1D62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 w:rsidR="002B1636">
        <w:rPr>
          <w:b/>
          <w:bCs/>
          <w:color w:val="000000"/>
          <w:spacing w:val="-4"/>
          <w:sz w:val="27"/>
          <w:szCs w:val="27"/>
        </w:rPr>
        <w:t>ответственности по</w:t>
      </w:r>
      <w:r>
        <w:rPr>
          <w:b/>
          <w:bCs/>
          <w:color w:val="000000"/>
          <w:spacing w:val="-4"/>
          <w:sz w:val="27"/>
          <w:szCs w:val="27"/>
        </w:rPr>
        <w:t xml:space="preserve"> </w:t>
      </w:r>
      <w:r w:rsidR="002B1636">
        <w:rPr>
          <w:b/>
          <w:bCs/>
          <w:color w:val="000000"/>
          <w:spacing w:val="-4"/>
          <w:sz w:val="27"/>
          <w:szCs w:val="27"/>
        </w:rPr>
        <w:t>адресу: пр-т. Мира д. 97. Корп.2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93050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930506" w:rsidRDefault="00930506" w:rsidP="0093050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930506" w:rsidRDefault="00930506" w:rsidP="0093050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9D2131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9D213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96A52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196A52" w:rsidRDefault="00196A52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196A52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6A231A" w:rsidRPr="00E67AEA" w:rsidRDefault="00AE50BB" w:rsidP="00E67AEA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8F7E1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8,</w:t>
            </w:r>
            <w:r w:rsidR="00196A52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973FA5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3FA5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196A52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</w:t>
            </w:r>
            <w:r w:rsidR="008F7E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8F7E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F7E13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E13" w:rsidRPr="000E4777" w:rsidRDefault="008F7E13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F7E13" w:rsidRPr="000E4777" w:rsidRDefault="008F7E13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E67AEA"/>
    <w:sectPr w:rsidR="007512F4" w:rsidSect="009305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196A52"/>
    <w:rsid w:val="002317F2"/>
    <w:rsid w:val="002B1636"/>
    <w:rsid w:val="002D4AA9"/>
    <w:rsid w:val="00377F27"/>
    <w:rsid w:val="00692243"/>
    <w:rsid w:val="006A231A"/>
    <w:rsid w:val="006C1D62"/>
    <w:rsid w:val="00713B00"/>
    <w:rsid w:val="007512F4"/>
    <w:rsid w:val="008F7E13"/>
    <w:rsid w:val="00930506"/>
    <w:rsid w:val="00973FA5"/>
    <w:rsid w:val="009D2131"/>
    <w:rsid w:val="00A86AE0"/>
    <w:rsid w:val="00AE50BB"/>
    <w:rsid w:val="00B00984"/>
    <w:rsid w:val="00B559BB"/>
    <w:rsid w:val="00BA300F"/>
    <w:rsid w:val="00CA3868"/>
    <w:rsid w:val="00D0408B"/>
    <w:rsid w:val="00E67AEA"/>
    <w:rsid w:val="00E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FE901-008F-4038-A35D-7959E08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17</cp:revision>
  <cp:lastPrinted>2019-04-19T00:11:00Z</cp:lastPrinted>
  <dcterms:created xsi:type="dcterms:W3CDTF">2018-12-27T23:00:00Z</dcterms:created>
  <dcterms:modified xsi:type="dcterms:W3CDTF">2019-04-19T00:12:00Z</dcterms:modified>
</cp:coreProperties>
</file>